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E0B1C" w:rsidRDefault="001841A0" w14:paraId="32AD25C7" w14:textId="2BC8B178">
      <w:r>
        <w:rPr>
          <w:rFonts w:ascii="Arial" w:hAnsi="Arial" w:cs="Arial"/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748208" wp14:editId="261B13A8">
            <wp:simplePos x="0" y="0"/>
            <wp:positionH relativeFrom="column">
              <wp:posOffset>3136605</wp:posOffset>
            </wp:positionH>
            <wp:positionV relativeFrom="paragraph">
              <wp:posOffset>106266</wp:posOffset>
            </wp:positionV>
            <wp:extent cx="3273596" cy="808074"/>
            <wp:effectExtent l="0" t="0" r="3175" b="0"/>
            <wp:wrapTight wrapText="bothSides">
              <wp:wrapPolygon edited="0">
                <wp:start x="1634" y="0"/>
                <wp:lineTo x="0" y="5094"/>
                <wp:lineTo x="0" y="12226"/>
                <wp:lineTo x="126" y="16811"/>
                <wp:lineTo x="1131" y="20887"/>
                <wp:lineTo x="1257" y="20887"/>
                <wp:lineTo x="11439" y="20887"/>
                <wp:lineTo x="21495" y="20377"/>
                <wp:lineTo x="21495" y="16302"/>
                <wp:lineTo x="20741" y="16302"/>
                <wp:lineTo x="17096" y="8151"/>
                <wp:lineTo x="17347" y="3057"/>
                <wp:lineTo x="14330" y="1019"/>
                <wp:lineTo x="3771" y="0"/>
                <wp:lineTo x="1634" y="0"/>
              </wp:wrapPolygon>
            </wp:wrapTight>
            <wp:docPr id="1007140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96" cy="80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70" w:rsidRDefault="00DB5770" w14:paraId="378F0023" w14:textId="3D48C55F">
      <w:pPr>
        <w:rPr>
          <w:rFonts w:ascii="Arial" w:hAnsi="Arial" w:cs="Arial"/>
          <w:b/>
          <w:color w:val="808080" w:themeColor="background1" w:themeShade="80"/>
          <w:sz w:val="36"/>
          <w:szCs w:val="36"/>
        </w:rPr>
      </w:pPr>
    </w:p>
    <w:p w:rsidR="00DB5770" w:rsidP="1F84C951" w:rsidRDefault="00DB5770" w14:paraId="4FA072E2" w14:textId="70F0DDDB">
      <w:pPr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</w:p>
    <w:p w:rsidR="00FD0D99" w:rsidP="1F84C951" w:rsidRDefault="00FD0D99" w14:paraId="58FC3048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1841A0" w:rsidR="001841A0" w:rsidP="1F84C951" w:rsidRDefault="001841A0" w14:paraId="1F353BC8" w14:textId="639B5441">
      <w:pPr>
        <w:rPr>
          <w:rFonts w:ascii="Arial" w:hAnsi="Arial" w:cs="Arial"/>
          <w:b/>
          <w:bCs/>
          <w:sz w:val="24"/>
          <w:szCs w:val="24"/>
        </w:rPr>
      </w:pPr>
      <w:r w:rsidRPr="001841A0">
        <w:rPr>
          <w:rFonts w:ascii="Arial" w:hAnsi="Arial" w:cs="Arial"/>
          <w:b/>
          <w:bCs/>
          <w:sz w:val="24"/>
          <w:szCs w:val="24"/>
        </w:rPr>
        <w:t xml:space="preserve">Policing and Crime </w:t>
      </w:r>
    </w:p>
    <w:p w:rsidR="001841A0" w:rsidRDefault="001841A0" w14:paraId="24492B9E" w14:textId="77777777">
      <w:pPr>
        <w:rPr>
          <w:rFonts w:ascii="Arial" w:hAnsi="Arial" w:cs="Arial"/>
          <w:b/>
          <w:sz w:val="36"/>
          <w:szCs w:val="36"/>
        </w:rPr>
      </w:pPr>
    </w:p>
    <w:p w:rsidRPr="001841A0" w:rsidR="005E0B1C" w:rsidRDefault="005E0B1C" w14:paraId="59641ECB" w14:textId="36743CB1">
      <w:pPr>
        <w:rPr>
          <w:rFonts w:ascii="Arial" w:hAnsi="Arial" w:cs="Arial"/>
          <w:b/>
          <w:sz w:val="36"/>
          <w:szCs w:val="36"/>
        </w:rPr>
      </w:pPr>
      <w:r w:rsidRPr="001841A0">
        <w:rPr>
          <w:rFonts w:ascii="Arial" w:hAnsi="Arial" w:cs="Arial"/>
          <w:b/>
          <w:sz w:val="36"/>
          <w:szCs w:val="36"/>
        </w:rPr>
        <w:t>Decommissioning</w:t>
      </w:r>
    </w:p>
    <w:p w:rsidRPr="00DB5770" w:rsidR="00C47DE6" w:rsidP="005E0B1C" w:rsidRDefault="005E0B1C" w14:paraId="70FE31A7" w14:textId="77777777">
      <w:r>
        <w:t xml:space="preserve"> </w:t>
      </w:r>
    </w:p>
    <w:p w:rsidRPr="00DB5770" w:rsidR="00C47DE6" w:rsidP="005E0B1C" w:rsidRDefault="00C47DE6" w14:paraId="62C3C0B0" w14:textId="77777777">
      <w:p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>Decommissioning is an important part of our commissioning process with the emergence of new areas of need and focus and recognising services are continually evolving and improving, it is inevitab</w:t>
      </w:r>
      <w:r w:rsidR="00DB5770">
        <w:rPr>
          <w:rFonts w:ascii="Arial" w:hAnsi="Arial" w:cs="Arial"/>
          <w:sz w:val="28"/>
          <w:szCs w:val="28"/>
        </w:rPr>
        <w:t>le that some services may be de</w:t>
      </w:r>
      <w:r w:rsidRPr="00DB5770">
        <w:rPr>
          <w:rFonts w:ascii="Arial" w:hAnsi="Arial" w:cs="Arial"/>
          <w:sz w:val="28"/>
          <w:szCs w:val="28"/>
        </w:rPr>
        <w:t xml:space="preserve">commissioned at some stage. </w:t>
      </w:r>
    </w:p>
    <w:p w:rsidRPr="00DB5770" w:rsidR="00C47DE6" w:rsidP="005E0B1C" w:rsidRDefault="00C47DE6" w14:paraId="0AC404DF" w14:textId="77777777">
      <w:p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 xml:space="preserve">Services can also become obsolete as </w:t>
      </w:r>
      <w:r w:rsidR="00912ECC">
        <w:rPr>
          <w:rFonts w:ascii="Arial" w:hAnsi="Arial" w:cs="Arial"/>
          <w:sz w:val="28"/>
          <w:szCs w:val="28"/>
        </w:rPr>
        <w:t>users,</w:t>
      </w:r>
      <w:r w:rsidRPr="00DB5770" w:rsidR="00DB5770">
        <w:rPr>
          <w:rFonts w:ascii="Arial" w:hAnsi="Arial" w:cs="Arial"/>
          <w:sz w:val="28"/>
          <w:szCs w:val="28"/>
        </w:rPr>
        <w:t xml:space="preserve"> their needs change,</w:t>
      </w:r>
      <w:r w:rsidRPr="00DB5770">
        <w:rPr>
          <w:rFonts w:ascii="Arial" w:hAnsi="Arial" w:cs="Arial"/>
          <w:sz w:val="28"/>
          <w:szCs w:val="28"/>
        </w:rPr>
        <w:t xml:space="preserve"> and as the techniques, technology and approaches to meeting those needs </w:t>
      </w:r>
      <w:r w:rsidRPr="00DB5770" w:rsidR="00DB5770">
        <w:rPr>
          <w:rFonts w:ascii="Arial" w:hAnsi="Arial" w:cs="Arial"/>
          <w:sz w:val="28"/>
          <w:szCs w:val="28"/>
        </w:rPr>
        <w:t xml:space="preserve">change. </w:t>
      </w:r>
      <w:r w:rsidRPr="00DB5770">
        <w:rPr>
          <w:rFonts w:ascii="Arial" w:hAnsi="Arial" w:cs="Arial"/>
          <w:sz w:val="28"/>
          <w:szCs w:val="28"/>
        </w:rPr>
        <w:t>Ending obsolete services, and re-commissioning others where appropriate, is part of our continuous cycle of commissioning.</w:t>
      </w:r>
    </w:p>
    <w:p w:rsidRPr="00DB5770" w:rsidR="00C47DE6" w:rsidP="00C47DE6" w:rsidRDefault="00C47DE6" w14:paraId="1CFB85D4" w14:textId="77777777">
      <w:p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>This may require stopping a service (or a significant part of it) or terminating or re-negotiating a contract or grant with an existing service provider, where this is driven by needs.</w:t>
      </w:r>
    </w:p>
    <w:p w:rsidRPr="00DB5770" w:rsidR="00C47DE6" w:rsidP="00C47DE6" w:rsidRDefault="00C47DE6" w14:paraId="7849CCEF" w14:textId="77777777">
      <w:pPr>
        <w:rPr>
          <w:rFonts w:ascii="Arial" w:hAnsi="Arial" w:cs="Arial"/>
          <w:sz w:val="28"/>
          <w:szCs w:val="28"/>
        </w:rPr>
      </w:pPr>
    </w:p>
    <w:p w:rsidRPr="00DB5770" w:rsidR="00C47DE6" w:rsidP="00C47DE6" w:rsidRDefault="00C47DE6" w14:paraId="4247F27F" w14:textId="77777777">
      <w:p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>Here are some examples of why existing</w:t>
      </w:r>
      <w:r w:rsidR="00912ECC">
        <w:rPr>
          <w:rFonts w:ascii="Arial" w:hAnsi="Arial" w:cs="Arial"/>
          <w:sz w:val="28"/>
          <w:szCs w:val="28"/>
        </w:rPr>
        <w:t xml:space="preserve"> provision of service may end</w:t>
      </w:r>
      <w:r w:rsidRPr="00DB5770">
        <w:rPr>
          <w:rFonts w:ascii="Arial" w:hAnsi="Arial" w:cs="Arial"/>
          <w:sz w:val="28"/>
          <w:szCs w:val="28"/>
        </w:rPr>
        <w:t>:</w:t>
      </w:r>
    </w:p>
    <w:p w:rsidRPr="00DB5770" w:rsidR="00C47DE6" w:rsidP="00C47DE6" w:rsidRDefault="00C47DE6" w14:paraId="5D2ECDC6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>We may need to make space f</w:t>
      </w:r>
      <w:r w:rsidR="00912ECC">
        <w:rPr>
          <w:rFonts w:ascii="Arial" w:hAnsi="Arial" w:cs="Arial"/>
          <w:sz w:val="28"/>
          <w:szCs w:val="28"/>
        </w:rPr>
        <w:t>or a new and improved service/s.</w:t>
      </w:r>
    </w:p>
    <w:p w:rsidRPr="00DB5770" w:rsidR="00C47DE6" w:rsidP="00C47DE6" w:rsidRDefault="00C47DE6" w14:paraId="67990463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 xml:space="preserve">To enable </w:t>
      </w:r>
      <w:r w:rsidR="00912ECC">
        <w:rPr>
          <w:rFonts w:ascii="Arial" w:hAnsi="Arial" w:cs="Arial"/>
          <w:sz w:val="28"/>
          <w:szCs w:val="28"/>
        </w:rPr>
        <w:t>innovation in service provision.</w:t>
      </w:r>
    </w:p>
    <w:p w:rsidRPr="00192ED3" w:rsidR="00C47DE6" w:rsidP="00C47DE6" w:rsidRDefault="00C47DE6" w14:paraId="744A338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770">
        <w:rPr>
          <w:rFonts w:ascii="Arial" w:hAnsi="Arial" w:cs="Arial"/>
          <w:sz w:val="28"/>
          <w:szCs w:val="28"/>
        </w:rPr>
        <w:t xml:space="preserve">To provide better value for money such as more effective achievement of the desired </w:t>
      </w:r>
      <w:r w:rsidRPr="00192ED3">
        <w:rPr>
          <w:rFonts w:ascii="Arial" w:hAnsi="Arial" w:cs="Arial"/>
          <w:sz w:val="28"/>
          <w:szCs w:val="28"/>
        </w:rPr>
        <w:t>outcomes or more efficient delivery</w:t>
      </w:r>
      <w:r w:rsidRPr="00192ED3" w:rsidR="00912ECC">
        <w:rPr>
          <w:rFonts w:ascii="Arial" w:hAnsi="Arial" w:cs="Arial"/>
          <w:sz w:val="28"/>
          <w:szCs w:val="28"/>
        </w:rPr>
        <w:t>.</w:t>
      </w:r>
    </w:p>
    <w:p w:rsidRPr="00192ED3" w:rsidR="005E0B1C" w:rsidP="00DB5770" w:rsidRDefault="00C47DE6" w14:paraId="5DA80C5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2ED3">
        <w:rPr>
          <w:rFonts w:ascii="Arial" w:hAnsi="Arial" w:cs="Arial"/>
          <w:sz w:val="28"/>
          <w:szCs w:val="28"/>
        </w:rPr>
        <w:t>To ensure a better fit to the level of demand and needs.</w:t>
      </w:r>
    </w:p>
    <w:p w:rsidRPr="00192ED3" w:rsidR="00DB5770" w:rsidP="00DB5770" w:rsidRDefault="00DB5770" w14:paraId="12EE9CA9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="00C47DE6" w:rsidRDefault="00C47DE6" w14:paraId="66FCA934" w14:textId="5293FFF5" w14:noSpellErr="1">
      <w:pPr>
        <w:rPr>
          <w:rFonts w:ascii="Arial" w:hAnsi="Arial" w:cs="Arial"/>
          <w:sz w:val="28"/>
          <w:szCs w:val="28"/>
        </w:rPr>
      </w:pPr>
      <w:r w:rsidRPr="034935FB" w:rsidR="00C47DE6">
        <w:rPr>
          <w:rFonts w:ascii="Arial" w:hAnsi="Arial" w:cs="Arial"/>
          <w:sz w:val="28"/>
          <w:szCs w:val="28"/>
        </w:rPr>
        <w:t xml:space="preserve">Our process for decommissioning follows </w:t>
      </w:r>
      <w:r w:rsidRPr="034935FB" w:rsidR="00DB5770">
        <w:rPr>
          <w:rFonts w:ascii="Arial" w:hAnsi="Arial" w:cs="Arial"/>
          <w:sz w:val="28"/>
          <w:szCs w:val="28"/>
        </w:rPr>
        <w:t xml:space="preserve">the same </w:t>
      </w:r>
      <w:r w:rsidRPr="034935FB" w:rsidR="00C47DE6">
        <w:rPr>
          <w:rFonts w:ascii="Arial" w:hAnsi="Arial" w:cs="Arial"/>
          <w:sz w:val="28"/>
          <w:szCs w:val="28"/>
        </w:rPr>
        <w:t xml:space="preserve">principles </w:t>
      </w:r>
      <w:r w:rsidRPr="034935FB" w:rsidR="00DB5770">
        <w:rPr>
          <w:rFonts w:ascii="Arial" w:hAnsi="Arial" w:cs="Arial"/>
          <w:sz w:val="28"/>
          <w:szCs w:val="28"/>
        </w:rPr>
        <w:t xml:space="preserve">as our commissioning approach alongside our clear rationale, good </w:t>
      </w:r>
      <w:r w:rsidRPr="034935FB" w:rsidR="001841A0">
        <w:rPr>
          <w:rFonts w:ascii="Arial" w:hAnsi="Arial" w:cs="Arial"/>
          <w:sz w:val="28"/>
          <w:szCs w:val="28"/>
        </w:rPr>
        <w:t>governance,</w:t>
      </w:r>
      <w:r w:rsidRPr="034935FB" w:rsidR="00DB5770">
        <w:rPr>
          <w:rFonts w:ascii="Arial" w:hAnsi="Arial" w:cs="Arial"/>
          <w:sz w:val="28"/>
          <w:szCs w:val="28"/>
        </w:rPr>
        <w:t xml:space="preserve"> and robust risk management.</w:t>
      </w:r>
      <w:r w:rsidRPr="034935FB" w:rsidR="002D0964">
        <w:rPr>
          <w:rFonts w:ascii="Arial" w:hAnsi="Arial" w:cs="Arial"/>
          <w:sz w:val="28"/>
          <w:szCs w:val="28"/>
        </w:rPr>
        <w:t xml:space="preserve"> </w:t>
      </w:r>
      <w:r w:rsidRPr="034935FB" w:rsidR="002D0964">
        <w:rPr>
          <w:rFonts w:ascii="Arial" w:hAnsi="Arial" w:cs="Arial"/>
          <w:i w:val="0"/>
          <w:iCs w:val="0"/>
          <w:sz w:val="28"/>
          <w:szCs w:val="28"/>
        </w:rPr>
        <w:t xml:space="preserve">Further, we will </w:t>
      </w:r>
      <w:r w:rsidRPr="034935FB" w:rsidR="002D0964">
        <w:rPr>
          <w:rFonts w:ascii="Arial" w:hAnsi="Arial" w:cs="Arial"/>
          <w:i w:val="0"/>
          <w:iCs w:val="0"/>
          <w:sz w:val="28"/>
          <w:szCs w:val="28"/>
        </w:rPr>
        <w:t>maintain</w:t>
      </w:r>
      <w:r w:rsidRPr="034935FB" w:rsidR="002D0964">
        <w:rPr>
          <w:rFonts w:ascii="Arial" w:hAnsi="Arial" w:cs="Arial"/>
          <w:i w:val="0"/>
          <w:iCs w:val="0"/>
          <w:sz w:val="28"/>
          <w:szCs w:val="28"/>
        </w:rPr>
        <w:t xml:space="preserve"> transparency and communicate to service providers at the earliest opportunity to support them through the project closure period whilst being mindful of keeping the service users’ experience at the forefront.</w:t>
      </w:r>
    </w:p>
    <w:p w:rsidRPr="00DB5770" w:rsidR="00DB5770" w:rsidP="034935FB" w:rsidRDefault="00DB5770" w14:paraId="00314513" w14:noSpellErr="1" w14:textId="1B1F3F01">
      <w:pPr>
        <w:pStyle w:val="Normal"/>
        <w:rPr>
          <w:rFonts w:ascii="Arial" w:hAnsi="Arial" w:cs="Arial"/>
          <w:sz w:val="28"/>
          <w:szCs w:val="28"/>
        </w:rPr>
      </w:pPr>
    </w:p>
    <w:p w:rsidRPr="00DB5770" w:rsidR="005E0B1C" w:rsidP="00DB5770" w:rsidRDefault="005E0B1C" w14:paraId="7D3387CC" w14:textId="77777777">
      <w:pPr>
        <w:pStyle w:val="ListParagraph"/>
        <w:rPr>
          <w:sz w:val="28"/>
          <w:szCs w:val="28"/>
        </w:rPr>
      </w:pPr>
    </w:p>
    <w:sectPr w:rsidRPr="00DB5770" w:rsidR="005E0B1C" w:rsidSect="005E0B1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0FFC"/>
    <w:multiLevelType w:val="hybridMultilevel"/>
    <w:tmpl w:val="E0E2D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D54AE4"/>
    <w:multiLevelType w:val="hybridMultilevel"/>
    <w:tmpl w:val="A35A2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8600528">
    <w:abstractNumId w:val="0"/>
  </w:num>
  <w:num w:numId="2" w16cid:durableId="95089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1C"/>
    <w:rsid w:val="001841A0"/>
    <w:rsid w:val="0018526A"/>
    <w:rsid w:val="00192ED3"/>
    <w:rsid w:val="001D1448"/>
    <w:rsid w:val="00217D9D"/>
    <w:rsid w:val="002D0964"/>
    <w:rsid w:val="004E5EB2"/>
    <w:rsid w:val="00594E6D"/>
    <w:rsid w:val="005E0B1C"/>
    <w:rsid w:val="00664BBA"/>
    <w:rsid w:val="00912ECC"/>
    <w:rsid w:val="00914F13"/>
    <w:rsid w:val="00BF6452"/>
    <w:rsid w:val="00C47DE6"/>
    <w:rsid w:val="00D923C3"/>
    <w:rsid w:val="00DB5770"/>
    <w:rsid w:val="00EB2239"/>
    <w:rsid w:val="00FD0D99"/>
    <w:rsid w:val="034935FB"/>
    <w:rsid w:val="1F84C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F2A0"/>
  <w15:chartTrackingRefBased/>
  <w15:docId w15:val="{125E1170-0E4A-48F8-9B01-735FE940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0B932-BC73-4C44-95BB-D18C8C96BAEA}">
  <ds:schemaRefs>
    <ds:schemaRef ds:uri="http://www.w3.org/XML/1998/namespace"/>
    <ds:schemaRef ds:uri="http://purl.org/dc/dcmitype/"/>
    <ds:schemaRef ds:uri="45671d71-1a40-4a0a-b7f1-25bb7a2b1cd1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99ab9c12-b0d4-4def-b8e1-fbe1a9b0378c"/>
  </ds:schemaRefs>
</ds:datastoreItem>
</file>

<file path=customXml/itemProps2.xml><?xml version="1.0" encoding="utf-8"?>
<ds:datastoreItem xmlns:ds="http://schemas.openxmlformats.org/officeDocument/2006/customXml" ds:itemID="{64B899E3-C13E-4133-8F3B-D0F1EEE3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346FC-CCFA-44CB-92F5-0E29D8C1C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West Yorkshire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Clough, Julia</dc:creator>
  <keywords/>
  <dc:description/>
  <lastModifiedBy>Jay Schofield</lastModifiedBy>
  <revision>5</revision>
  <dcterms:created xsi:type="dcterms:W3CDTF">2024-06-18T00:22:00.0000000Z</dcterms:created>
  <dcterms:modified xsi:type="dcterms:W3CDTF">2024-06-24T15:43:20.1297894Z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